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E943" w14:textId="1D3D6F3A" w:rsidR="0044635B" w:rsidRPr="0044635B" w:rsidRDefault="0044635B" w:rsidP="0044635B">
      <w:r w:rsidRPr="0044635B">
        <w:t xml:space="preserve">Safeguarding </w:t>
      </w:r>
      <w:r w:rsidR="0020796A">
        <w:t>at Woodlands Children’s Homes</w:t>
      </w:r>
      <w:r w:rsidRPr="0044635B">
        <w:t xml:space="preserve"> involves creating a safe and supportive environment where children are protected from abuse, neglect, and other harm. This includes developing policies, training staff, and implementing procedures to identify and address potential risks. </w:t>
      </w:r>
    </w:p>
    <w:p w14:paraId="465DA5E0" w14:textId="77777777" w:rsidR="0044635B" w:rsidRPr="0044635B" w:rsidRDefault="0044635B" w:rsidP="0044635B">
      <w:r w:rsidRPr="0044635B">
        <w:t>Here's a more detailed look at key aspects of safeguarding in children's residential homes:</w:t>
      </w:r>
    </w:p>
    <w:p w14:paraId="11B16A01" w14:textId="77777777" w:rsidR="0044635B" w:rsidRPr="0044635B" w:rsidRDefault="0044635B" w:rsidP="0044635B">
      <w:r w:rsidRPr="0044635B">
        <w:t>1. Developing a Safeguarding Policy:</w:t>
      </w:r>
    </w:p>
    <w:p w14:paraId="5E3C63DB" w14:textId="02A0989D" w:rsidR="0044635B" w:rsidRPr="0044635B" w:rsidRDefault="0044635B" w:rsidP="0044635B">
      <w:pPr>
        <w:numPr>
          <w:ilvl w:val="0"/>
          <w:numId w:val="5"/>
        </w:numPr>
      </w:pPr>
      <w:r w:rsidRPr="0044635B">
        <w:t xml:space="preserve">A clear and comprehensive safeguarding policy </w:t>
      </w:r>
      <w:r>
        <w:t>is</w:t>
      </w:r>
      <w:r w:rsidRPr="0044635B">
        <w:t xml:space="preserve"> in place, outlining </w:t>
      </w:r>
      <w:r>
        <w:t>Woodlands Children’s Homes</w:t>
      </w:r>
      <w:r w:rsidRPr="0044635B">
        <w:t xml:space="preserve"> commitment to child protection and the procedures for reporting concerns.</w:t>
      </w:r>
    </w:p>
    <w:p w14:paraId="4DCFAAF0" w14:textId="767E576E" w:rsidR="0044635B" w:rsidRPr="0044635B" w:rsidRDefault="0044635B" w:rsidP="0044635B">
      <w:pPr>
        <w:numPr>
          <w:ilvl w:val="0"/>
          <w:numId w:val="5"/>
        </w:numPr>
      </w:pPr>
      <w:r w:rsidRPr="0044635B">
        <w:t xml:space="preserve">This policy </w:t>
      </w:r>
      <w:r>
        <w:t>is</w:t>
      </w:r>
      <w:r w:rsidRPr="0044635B">
        <w:t xml:space="preserve"> accessible to all staff and readily available to children and families. </w:t>
      </w:r>
    </w:p>
    <w:p w14:paraId="32DDA5FC" w14:textId="77777777" w:rsidR="0044635B" w:rsidRPr="0044635B" w:rsidRDefault="0044635B" w:rsidP="0044635B">
      <w:r w:rsidRPr="0044635B">
        <w:t>2. Training Staff Thoroughly:</w:t>
      </w:r>
    </w:p>
    <w:p w14:paraId="7C35847E" w14:textId="689757F1" w:rsidR="0044635B" w:rsidRPr="0044635B" w:rsidRDefault="0044635B" w:rsidP="0044635B">
      <w:pPr>
        <w:numPr>
          <w:ilvl w:val="0"/>
          <w:numId w:val="6"/>
        </w:numPr>
      </w:pPr>
      <w:r w:rsidRPr="0044635B">
        <w:t xml:space="preserve">All staff members </w:t>
      </w:r>
      <w:r>
        <w:t>will</w:t>
      </w:r>
      <w:r w:rsidRPr="0044635B">
        <w:t xml:space="preserve"> receive adequate training on safeguarding principles, recognizing signs of abuse and neglect, and following reporting procedures.</w:t>
      </w:r>
    </w:p>
    <w:p w14:paraId="2C28CEB6" w14:textId="77777777" w:rsidR="0044635B" w:rsidRPr="0044635B" w:rsidRDefault="0044635B" w:rsidP="0044635B">
      <w:pPr>
        <w:numPr>
          <w:ilvl w:val="0"/>
          <w:numId w:val="6"/>
        </w:numPr>
      </w:pPr>
      <w:r w:rsidRPr="0044635B">
        <w:t xml:space="preserve">Regular refresher training is essential to ensure staff stay </w:t>
      </w:r>
      <w:proofErr w:type="gramStart"/>
      <w:r w:rsidRPr="0044635B">
        <w:t>up-to-date</w:t>
      </w:r>
      <w:proofErr w:type="gramEnd"/>
      <w:r w:rsidRPr="0044635B">
        <w:t xml:space="preserve"> on best practices. </w:t>
      </w:r>
    </w:p>
    <w:p w14:paraId="348ED630" w14:textId="77777777" w:rsidR="0044635B" w:rsidRPr="0044635B" w:rsidRDefault="0044635B" w:rsidP="0044635B">
      <w:r w:rsidRPr="0044635B">
        <w:t>3. Implementing a Safer Recruitment Policy:</w:t>
      </w:r>
    </w:p>
    <w:p w14:paraId="66BBC082" w14:textId="77777777" w:rsidR="0044635B" w:rsidRPr="0044635B" w:rsidRDefault="0044635B" w:rsidP="0044635B">
      <w:pPr>
        <w:numPr>
          <w:ilvl w:val="0"/>
          <w:numId w:val="7"/>
        </w:numPr>
      </w:pPr>
      <w:r w:rsidRPr="0044635B">
        <w:t>A robust recruitment process, including thorough background checks, is crucial to ensure that only suitable individuals are employed to work with children.</w:t>
      </w:r>
    </w:p>
    <w:p w14:paraId="4BD52998" w14:textId="77777777" w:rsidR="0044635B" w:rsidRPr="0044635B" w:rsidRDefault="0044635B" w:rsidP="0044635B">
      <w:pPr>
        <w:numPr>
          <w:ilvl w:val="0"/>
          <w:numId w:val="7"/>
        </w:numPr>
      </w:pPr>
      <w:r w:rsidRPr="0044635B">
        <w:t>This may include checks for criminal records and previous employment history. </w:t>
      </w:r>
    </w:p>
    <w:p w14:paraId="4BA99B69" w14:textId="77777777" w:rsidR="0044635B" w:rsidRPr="0044635B" w:rsidRDefault="0044635B" w:rsidP="0044635B">
      <w:r w:rsidRPr="0044635B">
        <w:t>4. Establishing a Safer Culture:</w:t>
      </w:r>
    </w:p>
    <w:p w14:paraId="44BBFA43" w14:textId="77777777" w:rsidR="0044635B" w:rsidRPr="0044635B" w:rsidRDefault="0044635B" w:rsidP="0044635B">
      <w:pPr>
        <w:numPr>
          <w:ilvl w:val="0"/>
          <w:numId w:val="8"/>
        </w:numPr>
      </w:pPr>
      <w:r w:rsidRPr="0044635B">
        <w:t>A culture of open communication and a willingness to report concerns is essential for effective safeguarding.</w:t>
      </w:r>
    </w:p>
    <w:p w14:paraId="7A7CC47D" w14:textId="00707BDA" w:rsidR="0044635B" w:rsidRPr="0044635B" w:rsidRDefault="0020796A" w:rsidP="0044635B">
      <w:pPr>
        <w:numPr>
          <w:ilvl w:val="0"/>
          <w:numId w:val="8"/>
        </w:numPr>
      </w:pPr>
      <w:r>
        <w:t xml:space="preserve">Our </w:t>
      </w:r>
      <w:r w:rsidR="0044635B" w:rsidRPr="0044635B">
        <w:t xml:space="preserve">Staff </w:t>
      </w:r>
      <w:r>
        <w:t>will</w:t>
      </w:r>
      <w:r w:rsidR="0044635B" w:rsidRPr="0044635B">
        <w:t xml:space="preserve"> feel supported in raising concerns and </w:t>
      </w:r>
      <w:r>
        <w:t>will</w:t>
      </w:r>
      <w:r w:rsidR="0044635B" w:rsidRPr="0044635B">
        <w:t xml:space="preserve"> be able to access confidential reporting channels. </w:t>
      </w:r>
    </w:p>
    <w:p w14:paraId="1F8ADBAF" w14:textId="77777777" w:rsidR="0044635B" w:rsidRPr="0044635B" w:rsidRDefault="0044635B" w:rsidP="0044635B">
      <w:r w:rsidRPr="0044635B">
        <w:t>5. Effective Communication:</w:t>
      </w:r>
    </w:p>
    <w:p w14:paraId="2D1A8E2F" w14:textId="77777777" w:rsidR="0044635B" w:rsidRPr="0044635B" w:rsidRDefault="0044635B" w:rsidP="0044635B">
      <w:pPr>
        <w:numPr>
          <w:ilvl w:val="0"/>
          <w:numId w:val="9"/>
        </w:numPr>
      </w:pPr>
      <w:r w:rsidRPr="0044635B">
        <w:t>Regular communication with children, families, and other relevant agencies is important for keeping everyone informed and involved in the safeguarding process.</w:t>
      </w:r>
    </w:p>
    <w:p w14:paraId="6ECD7118" w14:textId="77777777" w:rsidR="0044635B" w:rsidRDefault="0044635B" w:rsidP="0044635B">
      <w:pPr>
        <w:numPr>
          <w:ilvl w:val="0"/>
          <w:numId w:val="9"/>
        </w:numPr>
      </w:pPr>
      <w:r w:rsidRPr="0044635B">
        <w:t>This may include regular meetings, updates on the child's care plan, and access to information about safeguarding policies and procedures. </w:t>
      </w:r>
    </w:p>
    <w:p w14:paraId="5BD85222" w14:textId="77777777" w:rsidR="0020796A" w:rsidRPr="0044635B" w:rsidRDefault="0020796A" w:rsidP="0020796A">
      <w:pPr>
        <w:ind w:left="720"/>
      </w:pPr>
    </w:p>
    <w:p w14:paraId="5A78A59F" w14:textId="77777777" w:rsidR="0044635B" w:rsidRPr="0044635B" w:rsidRDefault="0044635B" w:rsidP="0044635B">
      <w:r w:rsidRPr="0044635B">
        <w:lastRenderedPageBreak/>
        <w:t>6. Regular Review and Audit:</w:t>
      </w:r>
    </w:p>
    <w:p w14:paraId="6176A0FF" w14:textId="553BEF17" w:rsidR="0044635B" w:rsidRPr="0044635B" w:rsidRDefault="0044635B" w:rsidP="0044635B">
      <w:pPr>
        <w:numPr>
          <w:ilvl w:val="0"/>
          <w:numId w:val="10"/>
        </w:numPr>
      </w:pPr>
      <w:r w:rsidRPr="0044635B">
        <w:t xml:space="preserve">Safeguarding practices </w:t>
      </w:r>
      <w:r w:rsidR="0020796A">
        <w:t xml:space="preserve">will </w:t>
      </w:r>
      <w:r w:rsidRPr="0044635B">
        <w:t xml:space="preserve">be regularly reviewed and audited to ensure they are effective and </w:t>
      </w:r>
      <w:proofErr w:type="gramStart"/>
      <w:r w:rsidRPr="0044635B">
        <w:t>up-to-date</w:t>
      </w:r>
      <w:proofErr w:type="gramEnd"/>
      <w:r w:rsidRPr="0044635B">
        <w:t>.</w:t>
      </w:r>
    </w:p>
    <w:p w14:paraId="1F0B477B" w14:textId="685C5EA1" w:rsidR="0044635B" w:rsidRPr="0044635B" w:rsidRDefault="0044635B" w:rsidP="0044635B">
      <w:pPr>
        <w:numPr>
          <w:ilvl w:val="0"/>
          <w:numId w:val="10"/>
        </w:numPr>
      </w:pPr>
      <w:r w:rsidRPr="0044635B">
        <w:t xml:space="preserve">This may involve conducting regular audits of </w:t>
      </w:r>
      <w:r w:rsidR="0020796A">
        <w:t>Woodlands Children’s Homes</w:t>
      </w:r>
      <w:r w:rsidRPr="0044635B">
        <w:t xml:space="preserve"> safeguarding policy and procedures, reviewing incident reports, and soliciting feedback from children and families. </w:t>
      </w:r>
    </w:p>
    <w:p w14:paraId="0EC2024B" w14:textId="77777777" w:rsidR="0044635B" w:rsidRPr="0044635B" w:rsidRDefault="0044635B" w:rsidP="0044635B">
      <w:r w:rsidRPr="0044635B">
        <w:t>7. Key Principles of Safeguarding:</w:t>
      </w:r>
    </w:p>
    <w:p w14:paraId="43DEAB19" w14:textId="77777777" w:rsidR="0044635B" w:rsidRPr="0044635B" w:rsidRDefault="0044635B" w:rsidP="0044635B">
      <w:pPr>
        <w:numPr>
          <w:ilvl w:val="0"/>
          <w:numId w:val="11"/>
        </w:numPr>
      </w:pPr>
      <w:r w:rsidRPr="0044635B">
        <w:rPr>
          <w:b/>
          <w:bCs/>
        </w:rPr>
        <w:t>Prevention:</w:t>
      </w:r>
      <w:r w:rsidRPr="0044635B">
        <w:t> Taking proactive steps to prevent harm from occurring in the first place. </w:t>
      </w:r>
    </w:p>
    <w:p w14:paraId="5056AC3B" w14:textId="77777777" w:rsidR="0044635B" w:rsidRPr="0044635B" w:rsidRDefault="0044635B" w:rsidP="0044635B">
      <w:pPr>
        <w:numPr>
          <w:ilvl w:val="0"/>
          <w:numId w:val="11"/>
        </w:numPr>
      </w:pPr>
      <w:r w:rsidRPr="0044635B">
        <w:rPr>
          <w:b/>
          <w:bCs/>
        </w:rPr>
        <w:t>Protection:</w:t>
      </w:r>
      <w:r w:rsidRPr="0044635B">
        <w:t> Providing immediate protection to children at risk of harm. </w:t>
      </w:r>
    </w:p>
    <w:p w14:paraId="281A3E95" w14:textId="77777777" w:rsidR="0044635B" w:rsidRPr="0044635B" w:rsidRDefault="0044635B" w:rsidP="0044635B">
      <w:pPr>
        <w:numPr>
          <w:ilvl w:val="0"/>
          <w:numId w:val="11"/>
        </w:numPr>
      </w:pPr>
      <w:r w:rsidRPr="0044635B">
        <w:rPr>
          <w:b/>
          <w:bCs/>
        </w:rPr>
        <w:t>Partnership:</w:t>
      </w:r>
      <w:r w:rsidRPr="0044635B">
        <w:t> Working collaboratively with families, other agencies, and the child to ensure their best interests are met. </w:t>
      </w:r>
    </w:p>
    <w:p w14:paraId="11DFAA3B" w14:textId="77777777" w:rsidR="0044635B" w:rsidRPr="0044635B" w:rsidRDefault="0044635B" w:rsidP="0044635B">
      <w:pPr>
        <w:numPr>
          <w:ilvl w:val="0"/>
          <w:numId w:val="11"/>
        </w:numPr>
      </w:pPr>
      <w:r w:rsidRPr="0044635B">
        <w:rPr>
          <w:b/>
          <w:bCs/>
        </w:rPr>
        <w:t>Proportionality:</w:t>
      </w:r>
      <w:r w:rsidRPr="0044635B">
        <w:t> Ensuring that interventions are appropriate and proportionate to the level of risk. </w:t>
      </w:r>
    </w:p>
    <w:p w14:paraId="4C925394" w14:textId="77777777" w:rsidR="0044635B" w:rsidRPr="0044635B" w:rsidRDefault="0044635B" w:rsidP="0044635B">
      <w:pPr>
        <w:numPr>
          <w:ilvl w:val="0"/>
          <w:numId w:val="11"/>
        </w:numPr>
      </w:pPr>
      <w:r w:rsidRPr="0044635B">
        <w:rPr>
          <w:b/>
          <w:bCs/>
        </w:rPr>
        <w:t>Accountability:</w:t>
      </w:r>
      <w:r w:rsidRPr="0044635B">
        <w:t> Holding individuals and organizations accountable for their safeguarding responsibilities. </w:t>
      </w:r>
    </w:p>
    <w:p w14:paraId="249D2CCF" w14:textId="77777777" w:rsidR="0044635B" w:rsidRPr="0044635B" w:rsidRDefault="0044635B" w:rsidP="0044635B">
      <w:r w:rsidRPr="0044635B">
        <w:t>8. Recognizing and Responding to Safeguarding Concerns:</w:t>
      </w:r>
    </w:p>
    <w:p w14:paraId="3CCCC516" w14:textId="70163638" w:rsidR="0044635B" w:rsidRPr="0044635B" w:rsidRDefault="0020796A" w:rsidP="0044635B">
      <w:pPr>
        <w:numPr>
          <w:ilvl w:val="0"/>
          <w:numId w:val="12"/>
        </w:numPr>
      </w:pPr>
      <w:r>
        <w:t xml:space="preserve">Our </w:t>
      </w:r>
      <w:r w:rsidR="0044635B" w:rsidRPr="0044635B">
        <w:t xml:space="preserve">Staff </w:t>
      </w:r>
      <w:r>
        <w:t>will</w:t>
      </w:r>
      <w:r w:rsidR="0044635B" w:rsidRPr="0044635B">
        <w:t xml:space="preserve"> be trained to recognize signs of abuse, neglect, and other forms of harm. </w:t>
      </w:r>
    </w:p>
    <w:p w14:paraId="16B1A633" w14:textId="453EDDD3" w:rsidR="0044635B" w:rsidRPr="0044635B" w:rsidRDefault="0044635B" w:rsidP="0044635B">
      <w:pPr>
        <w:numPr>
          <w:ilvl w:val="0"/>
          <w:numId w:val="12"/>
        </w:numPr>
      </w:pPr>
      <w:r w:rsidRPr="0044635B">
        <w:t xml:space="preserve">They </w:t>
      </w:r>
      <w:r w:rsidR="0020796A">
        <w:t>will</w:t>
      </w:r>
      <w:r w:rsidRPr="0044635B">
        <w:t xml:space="preserve"> also be able to respond appropriately to concerns, including reporting to the designated safeguarding lead and following the home's procedures. </w:t>
      </w:r>
    </w:p>
    <w:p w14:paraId="3841B7C3" w14:textId="77777777" w:rsidR="0044635B" w:rsidRPr="0044635B" w:rsidRDefault="0044635B" w:rsidP="0044635B">
      <w:r w:rsidRPr="0044635B">
        <w:t>9. Supporting Children's Rights and Expression:</w:t>
      </w:r>
    </w:p>
    <w:p w14:paraId="4C338762" w14:textId="28D6DB2A" w:rsidR="0044635B" w:rsidRPr="0044635B" w:rsidRDefault="0044635B" w:rsidP="0044635B">
      <w:pPr>
        <w:numPr>
          <w:ilvl w:val="0"/>
          <w:numId w:val="13"/>
        </w:numPr>
      </w:pPr>
      <w:r w:rsidRPr="0044635B">
        <w:t xml:space="preserve">Children </w:t>
      </w:r>
      <w:r w:rsidR="0020796A">
        <w:t xml:space="preserve">will </w:t>
      </w:r>
      <w:r w:rsidRPr="0044635B">
        <w:t>be supported to express their views and concerns, and their voices should be heard.</w:t>
      </w:r>
    </w:p>
    <w:p w14:paraId="6FDDA8BE" w14:textId="5A78D806" w:rsidR="0044635B" w:rsidRPr="0044635B" w:rsidRDefault="0044635B" w:rsidP="0044635B">
      <w:pPr>
        <w:numPr>
          <w:ilvl w:val="0"/>
          <w:numId w:val="13"/>
        </w:numPr>
      </w:pPr>
      <w:r w:rsidRPr="0044635B">
        <w:t xml:space="preserve">They </w:t>
      </w:r>
      <w:r w:rsidR="0020796A">
        <w:t>will</w:t>
      </w:r>
      <w:r w:rsidRPr="0044635B">
        <w:t xml:space="preserve"> also be given opportunities to participate in decision-making about their care and support. </w:t>
      </w:r>
    </w:p>
    <w:p w14:paraId="259F81AD" w14:textId="25E19DD0" w:rsidR="0044635B" w:rsidRPr="0044635B" w:rsidRDefault="0044635B" w:rsidP="0044635B">
      <w:r w:rsidRPr="0044635B">
        <w:t xml:space="preserve">By implementing these measures, </w:t>
      </w:r>
      <w:r w:rsidR="0020796A">
        <w:t xml:space="preserve">Woodlands </w:t>
      </w:r>
      <w:proofErr w:type="spellStart"/>
      <w:r w:rsidR="0020796A">
        <w:t>Childrens</w:t>
      </w:r>
      <w:proofErr w:type="spellEnd"/>
      <w:r w:rsidR="0020796A">
        <w:t xml:space="preserve"> Homes</w:t>
      </w:r>
      <w:r w:rsidRPr="0044635B">
        <w:t xml:space="preserve"> can create a safer and more supportive environment where children are protected and able to thrive. </w:t>
      </w:r>
    </w:p>
    <w:p w14:paraId="3A2323DA" w14:textId="0C9172FF" w:rsidR="00E73080" w:rsidRPr="0044635B" w:rsidRDefault="00E73080" w:rsidP="0044635B"/>
    <w:sectPr w:rsidR="00E73080" w:rsidRPr="0044635B" w:rsidSect="00600F55">
      <w:headerReference w:type="default" r:id="rId7"/>
      <w:footerReference w:type="default" r:id="rId8"/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9FE3" w14:textId="77777777" w:rsidR="00DA2A11" w:rsidRDefault="00DA2A11" w:rsidP="00600F55">
      <w:pPr>
        <w:spacing w:after="0" w:line="240" w:lineRule="auto"/>
      </w:pPr>
      <w:r>
        <w:separator/>
      </w:r>
    </w:p>
  </w:endnote>
  <w:endnote w:type="continuationSeparator" w:id="0">
    <w:p w14:paraId="652B68C3" w14:textId="77777777" w:rsidR="00DA2A11" w:rsidRDefault="00DA2A11" w:rsidP="0060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g Shoulders Display ExtraBold">
    <w:panose1 w:val="00000000000000000000"/>
    <w:charset w:val="00"/>
    <w:family w:val="auto"/>
    <w:pitch w:val="variable"/>
    <w:sig w:usb0="A00000FF" w:usb1="4000A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78B6" w14:textId="6AA23C3E" w:rsidR="00600F55" w:rsidRDefault="00600F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E1779" wp14:editId="4BA07DE4">
              <wp:simplePos x="0" y="0"/>
              <wp:positionH relativeFrom="column">
                <wp:posOffset>1162050</wp:posOffset>
              </wp:positionH>
              <wp:positionV relativeFrom="paragraph">
                <wp:posOffset>178435</wp:posOffset>
              </wp:positionV>
              <wp:extent cx="5943600" cy="274320"/>
              <wp:effectExtent l="0" t="0" r="0" b="0"/>
              <wp:wrapNone/>
              <wp:docPr id="16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28E136" id="Rectangle 1" o:spid="_x0000_s1026" style="position:absolute;margin-left:91.5pt;margin-top:14.0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" fillcolor="white [3212]" stroked="f" strokeweight="1pt">
              <v:fill opacity="0"/>
            </v:rect>
          </w:pict>
        </mc:Fallback>
      </mc:AlternateContent>
    </w:r>
    <w:r>
      <w:t>Registered office: 85 Great Portland Street, London, W1W 7LT Company number: 16445717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8A4D" w14:textId="77777777" w:rsidR="00DA2A11" w:rsidRDefault="00DA2A11" w:rsidP="00600F55">
      <w:pPr>
        <w:spacing w:after="0" w:line="240" w:lineRule="auto"/>
      </w:pPr>
      <w:r>
        <w:separator/>
      </w:r>
    </w:p>
  </w:footnote>
  <w:footnote w:type="continuationSeparator" w:id="0">
    <w:p w14:paraId="0EFD7273" w14:textId="77777777" w:rsidR="00DA2A11" w:rsidRDefault="00DA2A11" w:rsidP="0060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E13" w14:textId="41929FDF" w:rsidR="00600F55" w:rsidRDefault="00600F55">
    <w:pPr>
      <w:pStyle w:val="Header"/>
    </w:pPr>
    <w:r w:rsidRPr="00600F55">
      <w:rPr>
        <w:noProof/>
      </w:rPr>
      <w:drawing>
        <wp:inline distT="0" distB="0" distL="0" distR="0" wp14:anchorId="310BFE69" wp14:editId="291A639D">
          <wp:extent cx="6645910" cy="1851025"/>
          <wp:effectExtent l="0" t="0" r="2540" b="0"/>
          <wp:docPr id="1333366311" name="Picture 1" descr="A logo for a child's ho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366311" name="Picture 1" descr="A logo for a child's hom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85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8684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52334158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1590F700" wp14:editId="75607E6F">
            <wp:extent cx="95250" cy="95250"/>
            <wp:effectExtent l="0" t="0" r="0" b="0"/>
            <wp:docPr id="552334158" name="Picture 55233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2DC47F6"/>
    <w:multiLevelType w:val="hybridMultilevel"/>
    <w:tmpl w:val="D5606E66"/>
    <w:lvl w:ilvl="0" w:tplc="1E8AF6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51A6"/>
    <w:multiLevelType w:val="multilevel"/>
    <w:tmpl w:val="2594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A7286"/>
    <w:multiLevelType w:val="multilevel"/>
    <w:tmpl w:val="9A0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423A2"/>
    <w:multiLevelType w:val="multilevel"/>
    <w:tmpl w:val="4B8A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36D6A"/>
    <w:multiLevelType w:val="multilevel"/>
    <w:tmpl w:val="7EF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9559A"/>
    <w:multiLevelType w:val="multilevel"/>
    <w:tmpl w:val="8A8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F41B1"/>
    <w:multiLevelType w:val="multilevel"/>
    <w:tmpl w:val="AFB2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B5F95"/>
    <w:multiLevelType w:val="multilevel"/>
    <w:tmpl w:val="2B0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A1EB4"/>
    <w:multiLevelType w:val="multilevel"/>
    <w:tmpl w:val="434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7305F"/>
    <w:multiLevelType w:val="multilevel"/>
    <w:tmpl w:val="DA3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7282A"/>
    <w:multiLevelType w:val="multilevel"/>
    <w:tmpl w:val="0466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24336"/>
    <w:multiLevelType w:val="multilevel"/>
    <w:tmpl w:val="5A1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76069"/>
    <w:multiLevelType w:val="multilevel"/>
    <w:tmpl w:val="B4FC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880045">
    <w:abstractNumId w:val="0"/>
  </w:num>
  <w:num w:numId="2" w16cid:durableId="292100195">
    <w:abstractNumId w:val="9"/>
  </w:num>
  <w:num w:numId="3" w16cid:durableId="1136332332">
    <w:abstractNumId w:val="11"/>
  </w:num>
  <w:num w:numId="4" w16cid:durableId="733236731">
    <w:abstractNumId w:val="5"/>
  </w:num>
  <w:num w:numId="5" w16cid:durableId="299118718">
    <w:abstractNumId w:val="1"/>
  </w:num>
  <w:num w:numId="6" w16cid:durableId="1213692623">
    <w:abstractNumId w:val="2"/>
  </w:num>
  <w:num w:numId="7" w16cid:durableId="1693340237">
    <w:abstractNumId w:val="7"/>
  </w:num>
  <w:num w:numId="8" w16cid:durableId="2024084308">
    <w:abstractNumId w:val="3"/>
  </w:num>
  <w:num w:numId="9" w16cid:durableId="1880967291">
    <w:abstractNumId w:val="6"/>
  </w:num>
  <w:num w:numId="10" w16cid:durableId="1849631523">
    <w:abstractNumId w:val="10"/>
  </w:num>
  <w:num w:numId="11" w16cid:durableId="227035585">
    <w:abstractNumId w:val="12"/>
  </w:num>
  <w:num w:numId="12" w16cid:durableId="1598948703">
    <w:abstractNumId w:val="4"/>
  </w:num>
  <w:num w:numId="13" w16cid:durableId="10120748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0MjGxNAUCcwtzYyUdpeDU4uLM/DyQAqNaAEMv9tQsAAAA"/>
  </w:docVars>
  <w:rsids>
    <w:rsidRoot w:val="00600F55"/>
    <w:rsid w:val="00145BE0"/>
    <w:rsid w:val="001907ED"/>
    <w:rsid w:val="0020796A"/>
    <w:rsid w:val="003A258A"/>
    <w:rsid w:val="0044635B"/>
    <w:rsid w:val="0059436E"/>
    <w:rsid w:val="00600F55"/>
    <w:rsid w:val="00624630"/>
    <w:rsid w:val="009A345F"/>
    <w:rsid w:val="00BF0770"/>
    <w:rsid w:val="00DA2A11"/>
    <w:rsid w:val="00E73080"/>
    <w:rsid w:val="00E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DFED8"/>
  <w15:chartTrackingRefBased/>
  <w15:docId w15:val="{3677161A-5A98-4647-928B-6F9F4BB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icksand" w:eastAsiaTheme="minorHAnsi" w:hAnsi="Quicksa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45F"/>
    <w:pPr>
      <w:keepNext/>
      <w:keepLines/>
      <w:spacing w:before="360" w:after="80"/>
      <w:outlineLvl w:val="0"/>
    </w:pPr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45F"/>
    <w:pPr>
      <w:keepNext/>
      <w:keepLines/>
      <w:spacing w:before="160" w:after="80"/>
      <w:outlineLvl w:val="1"/>
    </w:pPr>
    <w:rPr>
      <w:rFonts w:eastAsiaTheme="majorEastAsia" w:cstheme="majorBidi"/>
      <w:b/>
      <w:color w:val="005F52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909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4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4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4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4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5F"/>
    <w:rPr>
      <w:rFonts w:ascii="Big Shoulders Display ExtraBold" w:eastAsiaTheme="majorEastAsia" w:hAnsi="Big Shoulders Display ExtraBold" w:cstheme="majorBidi"/>
      <w:caps/>
      <w:color w:val="090933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45F"/>
    <w:rPr>
      <w:rFonts w:eastAsiaTheme="majorEastAsia" w:cstheme="majorBidi"/>
      <w:b/>
      <w:color w:val="005F52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45F"/>
    <w:rPr>
      <w:rFonts w:asciiTheme="minorHAnsi" w:eastAsiaTheme="majorEastAsia" w:hAnsiTheme="minorHAnsi" w:cstheme="majorBidi"/>
      <w:i/>
      <w:iCs/>
      <w:color w:val="0909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45F"/>
    <w:rPr>
      <w:rFonts w:asciiTheme="minorHAnsi" w:eastAsiaTheme="majorEastAsia" w:hAnsiTheme="minorHAnsi" w:cstheme="majorBidi"/>
      <w:color w:val="0909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45F"/>
    <w:rPr>
      <w:i/>
      <w:iCs/>
      <w:color w:val="0909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45F"/>
    <w:pPr>
      <w:pBdr>
        <w:top w:val="single" w:sz="4" w:space="10" w:color="090933" w:themeColor="accent1" w:themeShade="BF"/>
        <w:bottom w:val="single" w:sz="4" w:space="10" w:color="090933" w:themeColor="accent1" w:themeShade="BF"/>
      </w:pBdr>
      <w:spacing w:before="360" w:after="360"/>
      <w:ind w:left="864" w:right="864"/>
      <w:jc w:val="center"/>
    </w:pPr>
    <w:rPr>
      <w:i/>
      <w:iCs/>
      <w:color w:val="0909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45F"/>
    <w:rPr>
      <w:i/>
      <w:iCs/>
      <w:color w:val="0909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45F"/>
    <w:rPr>
      <w:b/>
      <w:bCs/>
      <w:smallCaps/>
      <w:color w:val="0909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F55"/>
  </w:style>
  <w:style w:type="paragraph" w:styleId="Footer">
    <w:name w:val="footer"/>
    <w:basedOn w:val="Normal"/>
    <w:link w:val="FooterChar"/>
    <w:uiPriority w:val="99"/>
    <w:unhideWhenUsed/>
    <w:rsid w:val="00600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55"/>
  </w:style>
  <w:style w:type="character" w:styleId="Hyperlink">
    <w:name w:val="Hyperlink"/>
    <w:basedOn w:val="DefaultParagraphFont"/>
    <w:uiPriority w:val="99"/>
    <w:unhideWhenUsed/>
    <w:rsid w:val="0044635B"/>
    <w:rPr>
      <w:color w:val="005F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3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46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56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7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1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63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32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8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81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6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344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6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76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7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0528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191760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8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236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551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56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7176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71559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8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89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1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3619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6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92193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36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5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8281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83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1229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0813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1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34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60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13632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4523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7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83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7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4626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7815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2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13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195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3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31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8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79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191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6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16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7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6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F52"/>
      </a:dk2>
      <a:lt2>
        <a:srgbClr val="FFFFFF"/>
      </a:lt2>
      <a:accent1>
        <a:srgbClr val="0D0D45"/>
      </a:accent1>
      <a:accent2>
        <a:srgbClr val="21FFA1"/>
      </a:accent2>
      <a:accent3>
        <a:srgbClr val="566987"/>
      </a:accent3>
      <a:accent4>
        <a:srgbClr val="5079F7"/>
      </a:accent4>
      <a:accent5>
        <a:srgbClr val="00AE27"/>
      </a:accent5>
      <a:accent6>
        <a:srgbClr val="01C4A4"/>
      </a:accent6>
      <a:hlink>
        <a:srgbClr val="005F52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Hannon</dc:creator>
  <cp:keywords/>
  <dc:description/>
  <cp:lastModifiedBy>Melodie Hannon</cp:lastModifiedBy>
  <cp:revision>2</cp:revision>
  <dcterms:created xsi:type="dcterms:W3CDTF">2025-05-22T15:21:00Z</dcterms:created>
  <dcterms:modified xsi:type="dcterms:W3CDTF">2025-05-22T15:21:00Z</dcterms:modified>
</cp:coreProperties>
</file>